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B58A" w14:textId="00A8513A" w:rsidR="002A5D27" w:rsidRPr="002A5D27" w:rsidRDefault="002A5D27" w:rsidP="002A5D27">
      <w:pPr>
        <w:spacing w:after="0" w:line="480" w:lineRule="auto"/>
        <w:ind w:firstLine="720"/>
        <w:jc w:val="center"/>
        <w:rPr>
          <w:rFonts w:ascii="Times New Roman" w:hAnsi="Times New Roman" w:cs="Times New Roman"/>
          <w:b/>
          <w:bCs/>
          <w:sz w:val="24"/>
          <w:szCs w:val="24"/>
        </w:rPr>
      </w:pPr>
      <w:r w:rsidRPr="002A5D27">
        <w:rPr>
          <w:rFonts w:ascii="Times New Roman" w:hAnsi="Times New Roman" w:cs="Times New Roman"/>
          <w:b/>
          <w:bCs/>
          <w:sz w:val="24"/>
          <w:szCs w:val="24"/>
        </w:rPr>
        <w:t>EXECUTIVE SUMMARY</w:t>
      </w:r>
    </w:p>
    <w:p w14:paraId="6C68D623" w14:textId="77777777" w:rsidR="002A5D27" w:rsidRDefault="002A5D27" w:rsidP="002A5D27">
      <w:pPr>
        <w:spacing w:after="0" w:line="480" w:lineRule="auto"/>
        <w:ind w:firstLine="720"/>
        <w:jc w:val="both"/>
        <w:rPr>
          <w:rFonts w:ascii="Times New Roman" w:hAnsi="Times New Roman" w:cs="Times New Roman"/>
          <w:sz w:val="24"/>
          <w:szCs w:val="24"/>
        </w:rPr>
      </w:pPr>
    </w:p>
    <w:p w14:paraId="38638214" w14:textId="38FD6718" w:rsidR="002A5D27" w:rsidRDefault="002A5D27" w:rsidP="002A5D27">
      <w:pPr>
        <w:spacing w:after="0" w:line="480" w:lineRule="auto"/>
        <w:ind w:firstLine="720"/>
        <w:jc w:val="both"/>
        <w:rPr>
          <w:rFonts w:ascii="Times New Roman" w:hAnsi="Times New Roman" w:cs="Times New Roman"/>
          <w:sz w:val="24"/>
          <w:szCs w:val="24"/>
        </w:rPr>
      </w:pPr>
      <w:r w:rsidRPr="002A5D27">
        <w:rPr>
          <w:rFonts w:ascii="Times New Roman" w:hAnsi="Times New Roman" w:cs="Times New Roman"/>
          <w:sz w:val="24"/>
          <w:szCs w:val="24"/>
        </w:rPr>
        <w:t xml:space="preserve">The </w:t>
      </w:r>
      <w:proofErr w:type="spellStart"/>
      <w:r w:rsidRPr="002A5D27">
        <w:rPr>
          <w:rFonts w:ascii="Times New Roman" w:hAnsi="Times New Roman" w:cs="Times New Roman"/>
          <w:sz w:val="24"/>
          <w:szCs w:val="24"/>
        </w:rPr>
        <w:t>Busol</w:t>
      </w:r>
      <w:proofErr w:type="spellEnd"/>
      <w:r w:rsidRPr="002A5D27">
        <w:rPr>
          <w:rFonts w:ascii="Times New Roman" w:hAnsi="Times New Roman" w:cs="Times New Roman"/>
          <w:sz w:val="24"/>
          <w:szCs w:val="24"/>
        </w:rPr>
        <w:t xml:space="preserve"> Forest Reserve is source of domestic water supply of 21 Baguio City barangays. The study aimed 1) to determine the level of awareness of Baguio City water users on the importance of watersheds in ensuring a sustainable water supply; 2) to estimate the WTP for improved management of their watersheds to sustain domestic water supply of Baguio City; 3) to identify significant factors affecting WTP, and 4) develop a mechanism by which a fund for improved watershed management will be collected and utilized. The study used contingency valuation survey for data collection and descriptive statistics, parametric, and non-parametric statistical estimations were used to determine WTP of respondents. Results of the study showed that respondents are willing to pay monthly users’ fee ranging from P25.00 to P56.00 per household according to volume of water used. The respondents’ willingness to pay was affected by water payment, bid price and income. </w:t>
      </w:r>
      <w:proofErr w:type="spellStart"/>
      <w:r w:rsidRPr="002A5D27">
        <w:rPr>
          <w:rFonts w:ascii="Times New Roman" w:hAnsi="Times New Roman" w:cs="Times New Roman"/>
          <w:sz w:val="24"/>
          <w:szCs w:val="24"/>
        </w:rPr>
        <w:t>Nonwillingness</w:t>
      </w:r>
      <w:proofErr w:type="spellEnd"/>
      <w:r w:rsidRPr="002A5D27">
        <w:rPr>
          <w:rFonts w:ascii="Times New Roman" w:hAnsi="Times New Roman" w:cs="Times New Roman"/>
          <w:sz w:val="24"/>
          <w:szCs w:val="24"/>
        </w:rPr>
        <w:t xml:space="preserve"> to pay is attributed to income constraints. The mechanism developed is for the fee to be collected through the monthly water bills according to volume of water used, deposited in a 2 Fig. 1. Map of Baguio City showing study site, pre-testing sites and the </w:t>
      </w:r>
      <w:proofErr w:type="spellStart"/>
      <w:r w:rsidRPr="002A5D27">
        <w:rPr>
          <w:rFonts w:ascii="Times New Roman" w:hAnsi="Times New Roman" w:cs="Times New Roman"/>
          <w:sz w:val="24"/>
          <w:szCs w:val="24"/>
        </w:rPr>
        <w:t>Busol</w:t>
      </w:r>
      <w:proofErr w:type="spellEnd"/>
      <w:r w:rsidRPr="002A5D27">
        <w:rPr>
          <w:rFonts w:ascii="Times New Roman" w:hAnsi="Times New Roman" w:cs="Times New Roman"/>
          <w:sz w:val="24"/>
          <w:szCs w:val="24"/>
        </w:rPr>
        <w:t xml:space="preserve"> Forest Reserve. trust fund by the Baguio Water District and used solely by the City for the protection and management of the remaining existing forest cover of the </w:t>
      </w:r>
      <w:proofErr w:type="spellStart"/>
      <w:r w:rsidRPr="002A5D27">
        <w:rPr>
          <w:rFonts w:ascii="Times New Roman" w:hAnsi="Times New Roman" w:cs="Times New Roman"/>
          <w:sz w:val="24"/>
          <w:szCs w:val="24"/>
        </w:rPr>
        <w:t>Busol</w:t>
      </w:r>
      <w:proofErr w:type="spellEnd"/>
      <w:r w:rsidRPr="002A5D27">
        <w:rPr>
          <w:rFonts w:ascii="Times New Roman" w:hAnsi="Times New Roman" w:cs="Times New Roman"/>
          <w:sz w:val="24"/>
          <w:szCs w:val="24"/>
        </w:rPr>
        <w:t xml:space="preserve"> Forest Reserve. </w:t>
      </w:r>
    </w:p>
    <w:p w14:paraId="04632D26" w14:textId="77777777" w:rsidR="002A5D27" w:rsidRDefault="002A5D27" w:rsidP="002A5D27">
      <w:pPr>
        <w:spacing w:after="0" w:line="480" w:lineRule="auto"/>
        <w:jc w:val="both"/>
        <w:rPr>
          <w:rFonts w:ascii="Times New Roman" w:hAnsi="Times New Roman" w:cs="Times New Roman"/>
          <w:sz w:val="24"/>
          <w:szCs w:val="24"/>
        </w:rPr>
      </w:pPr>
    </w:p>
    <w:p w14:paraId="341C9B8E" w14:textId="5C820E15" w:rsidR="009676E8" w:rsidRPr="002A5D27" w:rsidRDefault="002A5D27" w:rsidP="002A5D27">
      <w:pPr>
        <w:spacing w:after="0" w:line="480" w:lineRule="auto"/>
        <w:jc w:val="both"/>
        <w:rPr>
          <w:rFonts w:ascii="Times New Roman" w:hAnsi="Times New Roman" w:cs="Times New Roman"/>
          <w:sz w:val="24"/>
          <w:szCs w:val="24"/>
        </w:rPr>
      </w:pPr>
      <w:r w:rsidRPr="002A5D27">
        <w:rPr>
          <w:rFonts w:ascii="Times New Roman" w:hAnsi="Times New Roman" w:cs="Times New Roman"/>
          <w:sz w:val="24"/>
          <w:szCs w:val="24"/>
        </w:rPr>
        <w:t>Keywords: Users’ fee, Willingness to Pay (WTP) and Non-willingness to Pay (Non-WTP)</w:t>
      </w:r>
    </w:p>
    <w:sectPr w:rsidR="009676E8" w:rsidRPr="002A5D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27"/>
    <w:rsid w:val="002A5D27"/>
    <w:rsid w:val="009676E8"/>
    <w:rsid w:val="00AF40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C074"/>
  <w15:chartTrackingRefBased/>
  <w15:docId w15:val="{87B61A54-5636-48DC-9F27-CC335AEE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1317</Characters>
  <Application>Microsoft Office Word</Application>
  <DocSecurity>0</DocSecurity>
  <Lines>119</Lines>
  <Paragraphs>63</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HP</dc:creator>
  <cp:keywords/>
  <dc:description/>
  <cp:lastModifiedBy>windows HP</cp:lastModifiedBy>
  <cp:revision>1</cp:revision>
  <dcterms:created xsi:type="dcterms:W3CDTF">2023-02-01T06:10:00Z</dcterms:created>
  <dcterms:modified xsi:type="dcterms:W3CDTF">2023-02-01T06:13:00Z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2f11118b-1fe8-4aeb-956a-85055236a6ce</vt:lpwstr>
  </property>
</Properties>
</file>